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E6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D19E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User\Pictures\img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9E6" w:rsidRDefault="008D19E6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9E6" w:rsidRDefault="008D19E6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"Дорожная азбука" предназначена для учащихся начальных классов и составлена на основе программы внеурочной деятельности по спортивно-оздоровительному направлению «Я — пешеход и пассажир» автор Я.Ф. Виноградова. </w:t>
      </w:r>
      <w:proofErr w:type="gramStart"/>
      <w:r w:rsidRPr="006279BB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proofErr w:type="gramEnd"/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Основная идея курса — формирование представлений о правилах дорожного движения и навыков безопасного поведения на улицах и дорогах. 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 Одна из причин такого явления — </w:t>
      </w:r>
      <w:proofErr w:type="spellStart"/>
      <w:r w:rsidRPr="006279BB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>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умения, относящегося к культуре безопасности жизнедеятельности в рамках внеурочной образовательной деятельности. 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>Программа решает</w:t>
      </w: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следующие задачи: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сообщение знаний о правилах движения на проезжей части;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lastRenderedPageBreak/>
        <w:t>· обучение пониманию сигналов светофора и жестов регулировщика;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привитие умения пользоваться общественным транспортом;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ознакомление со значениями важнейших дорожных знаков, указателей, линий разметки проезжей части;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воспитание осознания опасности неконтролируемого поведения на проезжей части, нарушения правил дорожного движения;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6279BB" w:rsidRPr="006279BB" w:rsidRDefault="006279BB" w:rsidP="006279BB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279BB" w:rsidRPr="006279BB" w:rsidRDefault="006279BB" w:rsidP="006279BB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Планируемые результаты освоения </w:t>
      </w:r>
      <w:proofErr w:type="gramStart"/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обучающимися</w:t>
      </w:r>
      <w:proofErr w:type="gramEnd"/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программы внеурочной деятельности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Личностными результатами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является формирование следующих умений: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оценивать жизненные ситуации (поступки, явления, события) с точки зрения, соблюдения правил дорожного движения;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· объяснять своё отношение к поступкам с позиции общечеловеческих нравственных </w:t>
      </w:r>
      <w:proofErr w:type="gramStart"/>
      <w:r w:rsidRPr="006279BB">
        <w:rPr>
          <w:rFonts w:ascii="Times New Roman" w:eastAsia="Times New Roman" w:hAnsi="Times New Roman" w:cs="Times New Roman"/>
          <w:sz w:val="28"/>
          <w:szCs w:val="28"/>
        </w:rPr>
        <w:t>ценностях</w:t>
      </w:r>
      <w:proofErr w:type="gramEnd"/>
      <w:r w:rsidRPr="006279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в предложенных ситуациях, опираясь на знания правил дорожного движения, делать выбор, как поступить;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осознавать ответственное отношение к собственному здоровью, к личной безопасности и безопасности окружающих.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результатами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 является формирование следующих универсальных учебных действий: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УУД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определять цель деятельности;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учиться обнаруживать и формулировать проблемы;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устанавливать причинно-следственные связи;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вырабатывать навыки контроля и самооценки процесса и результата деятельности;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навыки осознанного и произвольного построения сообщения в устной форме, в том числе творческого характера;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УУД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добывать новые знания: находить ответы на вопросы, используя разные источники информации, свой жизненный опыт;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перерабатывать полученную информацию: делать выводы в результате совместной деятельности;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УУД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lastRenderedPageBreak/>
        <w:t>· оформлять свои мысли в устной и письменной форме с учётом речевой ситуации;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высказывать и обосновывать свою точку зрения;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слушать и слышать других, пытаясь принимать иную точку зрения, быть готовым корректировать свою точку зрения;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договариваться и приходить к общему решению в совместной деятельности;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· задавать вопросы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Предметными результатами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eastAsia="Times New Roman" w:hAnsi="Times New Roman" w:cs="Times New Roman"/>
          <w:sz w:val="28"/>
          <w:szCs w:val="28"/>
        </w:rPr>
        <w:t>ия курса «Дорожная азбука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proofErr w:type="spellStart"/>
      <w:r w:rsidRPr="006279B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 следующих умений:</w:t>
      </w:r>
    </w:p>
    <w:p w:rsidR="006279BB" w:rsidRPr="006279BB" w:rsidRDefault="006279BB" w:rsidP="006279BB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Универсальные учебные действия: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>Ориентирование и поведение в окружающей среде: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определять форму предметов окружающего мира (треугольник, круг, квадрат);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сравнивать цвет предметов, группировать их по цветовым оттенкам;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определять пространственные положения и взаимоотношения объектов окружающего мира (</w:t>
      </w:r>
      <w:proofErr w:type="gramStart"/>
      <w:r w:rsidRPr="006279BB">
        <w:rPr>
          <w:rFonts w:ascii="Times New Roman" w:eastAsia="Times New Roman" w:hAnsi="Times New Roman" w:cs="Times New Roman"/>
          <w:sz w:val="28"/>
          <w:szCs w:val="28"/>
        </w:rPr>
        <w:t>близко-далеко</w:t>
      </w:r>
      <w:proofErr w:type="gramEnd"/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; рядом, около; за; перед; </w:t>
      </w:r>
      <w:proofErr w:type="spellStart"/>
      <w:r w:rsidRPr="006279BB">
        <w:rPr>
          <w:rFonts w:ascii="Times New Roman" w:eastAsia="Times New Roman" w:hAnsi="Times New Roman" w:cs="Times New Roman"/>
          <w:sz w:val="28"/>
          <w:szCs w:val="28"/>
        </w:rPr>
        <w:t>ближе-дальше</w:t>
      </w:r>
      <w:proofErr w:type="spellEnd"/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 и др.); сравнивать предметы, находящиеся в разных пространственных положениях;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объяснять свой путь от дома до школы;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— определять свое положение на местности по отношению к важным объектам (близко-далеко от дома, школы, рядом со школой, домом, недалеко </w:t>
      </w:r>
      <w:proofErr w:type="gramStart"/>
      <w:r w:rsidRPr="006279B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279BB">
        <w:rPr>
          <w:rFonts w:ascii="Times New Roman" w:eastAsia="Times New Roman" w:hAnsi="Times New Roman" w:cs="Times New Roman"/>
          <w:sz w:val="28"/>
          <w:szCs w:val="28"/>
        </w:rPr>
        <w:t>...).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279BB">
        <w:rPr>
          <w:rFonts w:ascii="Times New Roman" w:eastAsia="Times New Roman" w:hAnsi="Times New Roman" w:cs="Times New Roman"/>
          <w:i/>
          <w:iCs/>
          <w:sz w:val="28"/>
          <w:szCs w:val="28"/>
        </w:rPr>
        <w:t>Умения, определяющие безопасное поведение в условиях дорожного движения: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выделять из многообразия объектов транспортное средство;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различать цвет и форму запрещающих знаков;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различать и объяснять сигналы светофора, действовать в соответствии с ними;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находить места переходов по дорожным знакам (подземный, наземный переходы);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— различать сигналы светофора и объяснять их значение; 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— группировать транспортные средства по видам: наземный, подземный, водный, воздушный.</w:t>
      </w:r>
    </w:p>
    <w:p w:rsidR="006279BB" w:rsidRPr="006279BB" w:rsidRDefault="006279BB" w:rsidP="006279BB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программы</w:t>
      </w:r>
    </w:p>
    <w:p w:rsidR="006279BB" w:rsidRPr="006279BB" w:rsidRDefault="006279BB" w:rsidP="006279BB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Ориентировка в окружающем мире (17 ч.)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>Форма предметов окружающего мира (треугольник, круг, квадрат).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Цвет (цветовые оттенки) предметов (сравнение, называние, классификация).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Пространственные положения и взаимоотношения объектов окружающего мира (близко-далеко; рядом, </w:t>
      </w:r>
      <w:proofErr w:type="gramStart"/>
      <w:r w:rsidRPr="006279BB">
        <w:rPr>
          <w:rFonts w:ascii="Times New Roman" w:eastAsia="Times New Roman" w:hAnsi="Times New Roman" w:cs="Times New Roman"/>
          <w:sz w:val="28"/>
          <w:szCs w:val="28"/>
        </w:rPr>
        <w:t>около</w:t>
      </w:r>
      <w:proofErr w:type="gramEnd"/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; за; перед; </w:t>
      </w:r>
      <w:proofErr w:type="spellStart"/>
      <w:r w:rsidRPr="006279BB">
        <w:rPr>
          <w:rFonts w:ascii="Times New Roman" w:eastAsia="Times New Roman" w:hAnsi="Times New Roman" w:cs="Times New Roman"/>
          <w:sz w:val="28"/>
          <w:szCs w:val="28"/>
        </w:rPr>
        <w:t>ближе-дальше</w:t>
      </w:r>
      <w:proofErr w:type="spellEnd"/>
      <w:r w:rsidRPr="006279B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Цвет и форма запрещающих знаков: «движение пешеходов запрещено», «движение на велосипеде запрещено». 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Адрес местожительства, название ближайших улиц и их особенности.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>Дорога от дома до школы (кинотеатра, парка, магазина и пр.).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Транспорт. </w:t>
      </w:r>
      <w:proofErr w:type="gramStart"/>
      <w:r w:rsidRPr="006279BB">
        <w:rPr>
          <w:rFonts w:ascii="Times New Roman" w:eastAsia="Times New Roman" w:hAnsi="Times New Roman" w:cs="Times New Roman"/>
          <w:sz w:val="28"/>
          <w:szCs w:val="28"/>
        </w:rPr>
        <w:t>Наземный</w:t>
      </w:r>
      <w:proofErr w:type="gramEnd"/>
      <w:r w:rsidRPr="006279BB">
        <w:rPr>
          <w:rFonts w:ascii="Times New Roman" w:eastAsia="Times New Roman" w:hAnsi="Times New Roman" w:cs="Times New Roman"/>
          <w:sz w:val="28"/>
          <w:szCs w:val="28"/>
        </w:rPr>
        <w:t>, подземный, воздушный, водный (узнавание, называние, различение). Транспортное средство. Участники дорожного движения: водитель, пассажир, пешеход (узнавание, называние, особенности поведения).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Ты — пешеход (11 ч.)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>Дорога. Тротуар как часть дороги, предназначенная для движения пешеходов. Правила движения по тротуару: движение навстречу транспорту; движение по обочине при отсутствии тротуара; движение в темное время суток только в сопровождении взрослого.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6279BB">
        <w:rPr>
          <w:rFonts w:ascii="Times New Roman" w:eastAsia="Times New Roman" w:hAnsi="Times New Roman" w:cs="Times New Roman"/>
          <w:sz w:val="28"/>
          <w:szCs w:val="28"/>
        </w:rPr>
        <w:t>Знаки дорожного движения, определяющие переход дороги: «пешеходный переход», «пешеходная дорожка», «подземный пешеходный переход», «надземный пешеходный переход», «место остановки автобуса (троллейбуса)», «место остановки трамвая» (название, назначение, внешние признаки).</w:t>
      </w:r>
      <w:proofErr w:type="gramEnd"/>
      <w:r w:rsidRPr="006279B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поведения, определяемые тем или иным знаком ДД (правила перехода дороги при разных знаках пешеходного перехода). Светофор пешеходный и транспортный. Особенности сигналов светофора и действия пешеходов в соответствии с ними.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Ты — пассажир (5 ч.)</w:t>
      </w: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79BB">
        <w:rPr>
          <w:rFonts w:ascii="Times New Roman" w:eastAsia="Times New Roman" w:hAnsi="Times New Roman" w:cs="Times New Roman"/>
          <w:sz w:val="28"/>
          <w:szCs w:val="28"/>
        </w:rPr>
        <w:t>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</w:t>
      </w:r>
    </w:p>
    <w:p w:rsid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Тематическое  планирование</w:t>
      </w:r>
    </w:p>
    <w:p w:rsidR="006279BB" w:rsidRPr="006279BB" w:rsidRDefault="006279BB" w:rsidP="006279BB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tbl>
      <w:tblPr>
        <w:tblW w:w="0" w:type="auto"/>
        <w:tblInd w:w="-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88"/>
        <w:gridCol w:w="845"/>
      </w:tblGrid>
      <w:tr w:rsidR="006279BB" w:rsidRPr="006279BB" w:rsidTr="006279BB">
        <w:tc>
          <w:tcPr>
            <w:tcW w:w="3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 </w:t>
            </w:r>
          </w:p>
        </w:tc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6279BB" w:rsidRPr="006279BB" w:rsidTr="006279BB"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Ориентировка в окружающем мире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279BB" w:rsidRPr="006279BB" w:rsidTr="006279BB"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 — пешеход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279BB" w:rsidRPr="006279BB" w:rsidTr="006279BB"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Ты — пассажир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279BB" w:rsidRPr="006279BB" w:rsidTr="006279BB">
        <w:tc>
          <w:tcPr>
            <w:tcW w:w="3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279BB" w:rsidRPr="006279BB" w:rsidRDefault="006279BB" w:rsidP="00C338C8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9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6279BB" w:rsidRPr="006279BB" w:rsidRDefault="006279BB" w:rsidP="006279BB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279B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D479B" w:rsidRDefault="009D479B"/>
    <w:sectPr w:rsidR="009D479B" w:rsidSect="009D47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92" w:rsidRDefault="00C26B92" w:rsidP="006279BB">
      <w:pPr>
        <w:spacing w:after="0" w:line="240" w:lineRule="auto"/>
      </w:pPr>
      <w:r>
        <w:separator/>
      </w:r>
    </w:p>
  </w:endnote>
  <w:endnote w:type="continuationSeparator" w:id="0">
    <w:p w:rsidR="00C26B92" w:rsidRDefault="00C26B92" w:rsidP="0062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481"/>
      <w:docPartObj>
        <w:docPartGallery w:val="Page Numbers (Bottom of Page)"/>
        <w:docPartUnique/>
      </w:docPartObj>
    </w:sdtPr>
    <w:sdtContent>
      <w:p w:rsidR="006279BB" w:rsidRDefault="006F685F">
        <w:pPr>
          <w:pStyle w:val="a5"/>
          <w:jc w:val="right"/>
        </w:pPr>
        <w:fldSimple w:instr=" PAGE   \* MERGEFORMAT ">
          <w:r w:rsidR="008D19E6">
            <w:rPr>
              <w:noProof/>
            </w:rPr>
            <w:t>5</w:t>
          </w:r>
        </w:fldSimple>
      </w:p>
    </w:sdtContent>
  </w:sdt>
  <w:p w:rsidR="006279BB" w:rsidRDefault="006279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92" w:rsidRDefault="00C26B92" w:rsidP="006279BB">
      <w:pPr>
        <w:spacing w:after="0" w:line="240" w:lineRule="auto"/>
      </w:pPr>
      <w:r>
        <w:separator/>
      </w:r>
    </w:p>
  </w:footnote>
  <w:footnote w:type="continuationSeparator" w:id="0">
    <w:p w:rsidR="00C26B92" w:rsidRDefault="00C26B92" w:rsidP="00627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9BB"/>
    <w:rsid w:val="00107A26"/>
    <w:rsid w:val="006279BB"/>
    <w:rsid w:val="006F685F"/>
    <w:rsid w:val="00845E7E"/>
    <w:rsid w:val="008D19E6"/>
    <w:rsid w:val="009D479B"/>
    <w:rsid w:val="00C2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B"/>
    <w:pPr>
      <w:suppressAutoHyphens/>
    </w:pPr>
    <w:rPr>
      <w:rFonts w:ascii="Calibri" w:eastAsia="SimSun" w:hAnsi="Calibri" w:cs="font24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9BB"/>
    <w:rPr>
      <w:rFonts w:ascii="Calibri" w:eastAsia="SimSun" w:hAnsi="Calibri" w:cs="font249"/>
      <w:lang w:eastAsia="ar-SA"/>
    </w:rPr>
  </w:style>
  <w:style w:type="paragraph" w:styleId="a5">
    <w:name w:val="footer"/>
    <w:basedOn w:val="a"/>
    <w:link w:val="a6"/>
    <w:uiPriority w:val="99"/>
    <w:unhideWhenUsed/>
    <w:rsid w:val="0062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9BB"/>
    <w:rPr>
      <w:rFonts w:ascii="Calibri" w:eastAsia="SimSun" w:hAnsi="Calibri" w:cs="font249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D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9E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EA71-DA50-4E4B-93AC-2B3A7C1E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2017-08-28T18:09:00Z</cp:lastPrinted>
  <dcterms:created xsi:type="dcterms:W3CDTF">2017-08-28T18:01:00Z</dcterms:created>
  <dcterms:modified xsi:type="dcterms:W3CDTF">2018-02-06T12:10:00Z</dcterms:modified>
</cp:coreProperties>
</file>